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Layout w:type="fixed"/>
        <w:tblCellMar>
          <w:left w:w="70" w:type="dxa"/>
          <w:right w:w="70" w:type="dxa"/>
        </w:tblCellMar>
        <w:tblLook w:val="04A0" w:firstRow="1" w:lastRow="0" w:firstColumn="1" w:lastColumn="0" w:noHBand="0" w:noVBand="1"/>
      </w:tblPr>
      <w:tblGrid>
        <w:gridCol w:w="667"/>
        <w:gridCol w:w="4380"/>
        <w:gridCol w:w="5121"/>
        <w:gridCol w:w="312"/>
      </w:tblGrid>
      <w:tr>
        <w:trPr>
          <w:trHeight w:val="450"/>
        </w:trPr>
        <w:tc>
          <w:tcPr>
            <w:tcW w:w="10168" w:type="dxa"/>
            <w:gridSpan w:val="3"/>
            <w:vMerge w:val="restart"/>
            <w:shd w:val="clear" w:color="0563C1" w:fill="2F5597"/>
            <w:vAlign w:val="center"/>
          </w:tcPr>
          <w:p>
            <w:pPr>
              <w:widowControl w:val="0"/>
              <w:spacing w:after="0" w:line="240" w:lineRule="auto"/>
              <w:jc w:val="center"/>
              <w:rPr>
                <w:rFonts w:ascii="Calibri" w:eastAsia="Times New Roman" w:hAnsi="Calibri" w:cs="Calibri"/>
                <w:b/>
                <w:bCs/>
                <w:color w:val="FFFFFF"/>
                <w:lang w:eastAsia="sk-SK"/>
              </w:rPr>
            </w:pPr>
            <w:bookmarkStart w:id="0" w:name="_GoBack"/>
            <w:bookmarkEnd w:id="0"/>
            <w:r>
              <w:rPr>
                <w:rFonts w:eastAsia="Times New Roman" w:cs="Calibri"/>
                <w:b/>
                <w:bCs/>
                <w:color w:val="FFFFFF"/>
                <w:lang w:eastAsia="sk-SK"/>
              </w:rPr>
              <w:t xml:space="preserve">Charakteristika predkladaného výstupu tvorivej činnosti / </w:t>
            </w:r>
            <w:r>
              <w:rPr>
                <w:rFonts w:eastAsia="Times New Roman" w:cs="Calibri"/>
                <w:b/>
                <w:bCs/>
                <w:color w:val="FFFFFF"/>
                <w:lang w:eastAsia="sk-SK"/>
              </w:rPr>
              <w:br/>
              <w:t>Characteristics of the submitted research/ artistic/other output</w:t>
            </w:r>
          </w:p>
        </w:tc>
        <w:tc>
          <w:tcPr>
            <w:tcW w:w="312" w:type="dxa"/>
          </w:tcPr>
          <w:p>
            <w:pPr>
              <w:widowControl w:val="0"/>
            </w:pPr>
          </w:p>
        </w:tc>
      </w:tr>
      <w:tr>
        <w:trPr>
          <w:trHeight w:val="450"/>
        </w:trPr>
        <w:tc>
          <w:tcPr>
            <w:tcW w:w="10168" w:type="dxa"/>
            <w:gridSpan w:val="3"/>
            <w:vMerge/>
            <w:vAlign w:val="center"/>
          </w:tcPr>
          <w:p>
            <w:pPr>
              <w:widowControl w:val="0"/>
              <w:spacing w:after="0" w:line="240" w:lineRule="auto"/>
              <w:rPr>
                <w:rFonts w:ascii="Calibri" w:eastAsia="Times New Roman" w:hAnsi="Calibri" w:cs="Calibri"/>
                <w:b/>
                <w:bCs/>
                <w:color w:val="FFFFFF"/>
                <w:lang w:eastAsia="sk-SK"/>
              </w:rPr>
            </w:pPr>
          </w:p>
        </w:tc>
        <w:tc>
          <w:tcPr>
            <w:tcW w:w="312" w:type="dxa"/>
            <w:shd w:val="clear" w:color="auto" w:fill="auto"/>
            <w:vAlign w:val="bottom"/>
          </w:tcPr>
          <w:p>
            <w:pPr>
              <w:widowControl w:val="0"/>
              <w:spacing w:after="0" w:line="240" w:lineRule="auto"/>
              <w:jc w:val="center"/>
              <w:rPr>
                <w:rFonts w:ascii="Calibri" w:eastAsia="Times New Roman" w:hAnsi="Calibri" w:cs="Calibri"/>
                <w:b/>
                <w:bCs/>
                <w:color w:val="FFFFFF"/>
                <w:lang w:eastAsia="sk-SK"/>
              </w:rPr>
            </w:pPr>
          </w:p>
        </w:tc>
      </w:tr>
      <w:tr>
        <w:trPr>
          <w:trHeight w:val="60"/>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shd w:val="clear" w:color="auto" w:fill="auto"/>
            <w:vAlign w:val="bottom"/>
          </w:tcPr>
          <w:p>
            <w:pPr>
              <w:widowControl w:val="0"/>
              <w:spacing w:after="0" w:line="240" w:lineRule="auto"/>
              <w:rPr>
                <w:rFonts w:ascii="Calibri" w:eastAsia="Times New Roman" w:hAnsi="Calibri" w:cs="Calibr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ign w:val="center"/>
          </w:tcPr>
          <w:p>
            <w:pPr>
              <w:widowControl w:val="0"/>
              <w:spacing w:after="0" w:line="240" w:lineRule="auto"/>
              <w:rPr>
                <w:rFonts w:ascii="Calibri" w:eastAsia="Times New Roman" w:hAnsi="Calibri" w:cs="Calibri"/>
                <w:i/>
                <w:iCs/>
                <w:color w:val="2F5597"/>
                <w:sz w:val="16"/>
                <w:szCs w:val="16"/>
                <w:lang w:eastAsia="sk-SK"/>
              </w:rPr>
            </w:pPr>
          </w:p>
        </w:tc>
        <w:tc>
          <w:tcPr>
            <w:tcW w:w="312" w:type="dxa"/>
            <w:shd w:val="clear" w:color="auto" w:fill="auto"/>
            <w:vAlign w:val="bottom"/>
          </w:tcPr>
          <w:p>
            <w:pPr>
              <w:widowControl w:val="0"/>
              <w:spacing w:after="0" w:line="240" w:lineRule="auto"/>
              <w:rPr>
                <w:rFonts w:ascii="Calibri" w:eastAsia="Times New Roman" w:hAnsi="Calibri" w:cs="Calibri"/>
                <w:i/>
                <w:iCs/>
                <w:color w:val="2F5597"/>
                <w:sz w:val="16"/>
                <w:szCs w:val="16"/>
                <w:lang w:eastAsia="sk-SK"/>
              </w:rPr>
            </w:pPr>
          </w:p>
        </w:tc>
      </w:tr>
      <w:tr>
        <w:trPr>
          <w:trHeight w:val="90"/>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45"/>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tcBorders>
              <w:top w:val="single" w:sz="8" w:space="0" w:color="2F5597"/>
              <w:left w:val="single" w:sz="8" w:space="0" w:color="2F5597"/>
              <w:right w:val="dashed" w:sz="4" w:space="0" w:color="2F5597"/>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5" w:anchor="'poznamky_explanatory notes'!A1" w:history="1">
              <w:r>
                <w:rPr>
                  <w:rFonts w:eastAsia="Times New Roman" w:cs="Calibri"/>
                  <w:sz w:val="16"/>
                  <w:szCs w:val="16"/>
                  <w:lang w:eastAsia="sk-SK"/>
                </w:rPr>
                <w:t xml:space="preserve">ID konania/ID of the procedure: </w:t>
              </w:r>
            </w:hyperlink>
            <w:r>
              <w:rPr>
                <w:rFonts w:eastAsia="Times New Roman" w:cs="Calibri"/>
                <w:sz w:val="16"/>
                <w:szCs w:val="16"/>
                <w:vertAlign w:val="superscript"/>
                <w:lang w:eastAsia="sk-SK"/>
              </w:rPr>
              <w:t>1</w:t>
            </w:r>
          </w:p>
        </w:tc>
        <w:tc>
          <w:tcPr>
            <w:tcW w:w="5121" w:type="dxa"/>
            <w:tcBorders>
              <w:top w:val="single" w:sz="8" w:space="0" w:color="2F5597"/>
              <w:right w:val="single" w:sz="8" w:space="0" w:color="2F5597"/>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45"/>
        </w:trPr>
        <w:tc>
          <w:tcPr>
            <w:tcW w:w="667" w:type="dxa"/>
            <w:shd w:val="clear" w:color="auto" w:fill="auto"/>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left w:val="single" w:sz="8" w:space="0" w:color="2F5597"/>
              <w:bottom w:val="single" w:sz="8" w:space="0" w:color="2F5597"/>
              <w:right w:val="dashed" w:sz="4" w:space="0" w:color="2F5597"/>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6" w:anchor="'poznamky_explanatory notes'!A1" w:history="1">
              <w:bookmarkStart w:id="1" w:name="RANGE!C9"/>
              <w:r>
                <w:rPr>
                  <w:rFonts w:eastAsia="Times New Roman" w:cs="Calibri"/>
                  <w:sz w:val="16"/>
                  <w:szCs w:val="16"/>
                  <w:lang w:eastAsia="sk-SK"/>
                </w:rPr>
                <w:t>Kód VTC/Code of the research/artistic/other output (RAOO):</w:t>
              </w:r>
            </w:hyperlink>
            <w:r>
              <w:rPr>
                <w:rFonts w:eastAsia="Times New Roman" w:cs="Calibri"/>
                <w:sz w:val="16"/>
                <w:szCs w:val="16"/>
                <w:vertAlign w:val="superscript"/>
                <w:lang w:eastAsia="sk-SK"/>
              </w:rPr>
              <w:t>1</w:t>
            </w:r>
            <w:bookmarkEnd w:id="1"/>
          </w:p>
        </w:tc>
        <w:tc>
          <w:tcPr>
            <w:tcW w:w="5121" w:type="dxa"/>
            <w:tcBorders>
              <w:bottom w:val="single" w:sz="8" w:space="0" w:color="2F5597"/>
              <w:right w:val="single" w:sz="8" w:space="0" w:color="2F5597"/>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405"/>
        </w:trPr>
        <w:tc>
          <w:tcPr>
            <w:tcW w:w="667" w:type="dxa"/>
            <w:shd w:val="clear" w:color="auto" w:fill="auto"/>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1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7" w:anchor="'poznamky_explanatory notes'!A1" w:history="1">
              <w:r>
                <w:rPr>
                  <w:rFonts w:eastAsia="Times New Roman" w:cs="Calibri"/>
                  <w:sz w:val="16"/>
                  <w:szCs w:val="16"/>
                  <w:lang w:eastAsia="sk-SK"/>
                </w:rPr>
                <w:t xml:space="preserve">OCA1. Priezvisko hodnotenej osoby / Surname awarded to the assessed person </w:t>
              </w:r>
            </w:hyperlink>
            <w:r>
              <w:rPr>
                <w:rFonts w:eastAsia="Times New Roman" w:cs="Calibri"/>
                <w:sz w:val="16"/>
                <w:szCs w:val="16"/>
                <w:vertAlign w:val="superscript"/>
                <w:lang w:eastAsia="sk-SK"/>
              </w:rPr>
              <w:t>2</w:t>
            </w:r>
          </w:p>
        </w:tc>
        <w:tc>
          <w:tcPr>
            <w:tcW w:w="5121" w:type="dxa"/>
            <w:tcBorders>
              <w:top w:val="single" w:sz="8" w:space="0" w:color="000000"/>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Dávidová</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15"/>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8" w:anchor="'poznamky_explanatory notes'!A1" w:history="1">
              <w:r>
                <w:rPr>
                  <w:rFonts w:eastAsia="Times New Roman" w:cs="Calibri"/>
                  <w:sz w:val="16"/>
                  <w:szCs w:val="16"/>
                  <w:lang w:eastAsia="sk-SK"/>
                </w:rPr>
                <w:t xml:space="preserve">OCA2. Meno hodnotenej osoby / Name awarded to the assessed person </w:t>
              </w:r>
            </w:hyperlink>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Michaela</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59"/>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9" w:anchor="'poznamky_explanatory notes'!A1" w:history="1">
              <w:r>
                <w:rPr>
                  <w:rFonts w:eastAsia="Times New Roman" w:cs="Calibri"/>
                  <w:sz w:val="16"/>
                  <w:szCs w:val="16"/>
                  <w:lang w:eastAsia="sk-SK"/>
                </w:rPr>
                <w:t xml:space="preserve">OCA3. Tituly hodnotenej osoby / Degrees awarded to the assessed person </w:t>
              </w:r>
            </w:hyperlink>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PhDr. et Bc.; PhD.; MBA; LL.M.</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66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0" w:anchor="'poznamky_explanatory notes'!A1" w:history="1">
              <w:r>
                <w:rPr>
                  <w:rFonts w:eastAsia="Times New Roman" w:cs="Calibri"/>
                  <w:sz w:val="16"/>
                  <w:szCs w:val="16"/>
                  <w:lang w:eastAsia="sk-SK"/>
                </w:rPr>
                <w:t xml:space="preserve">OCA4. Hyperlink na záznam osoby v Registri zamestnancov vysokých škôl / Hyperlink to the entry of the person in the Register of university staff </w:t>
              </w:r>
            </w:hyperlink>
            <w:r>
              <w:rPr>
                <w:rFonts w:eastAsia="Times New Roman" w:cs="Calibri"/>
                <w:sz w:val="16"/>
                <w:szCs w:val="16"/>
                <w:vertAlign w:val="superscript"/>
                <w:lang w:eastAsia="sk-SK"/>
              </w:rPr>
              <w:t>3</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0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1" w:anchor="'poznamky_explanatory notes'!A1" w:history="1">
              <w:r>
                <w:rPr>
                  <w:rFonts w:eastAsia="Times New Roman" w:cs="Calibri"/>
                  <w:sz w:val="16"/>
                  <w:szCs w:val="16"/>
                  <w:lang w:eastAsia="sk-SK"/>
                </w:rPr>
                <w:t xml:space="preserve">OCA5. Oblasť posudzovania / Area of assessment </w:t>
              </w:r>
            </w:hyperlink>
            <w:r>
              <w:rPr>
                <w:rFonts w:eastAsia="Times New Roman" w:cs="Calibri"/>
                <w:sz w:val="16"/>
                <w:szCs w:val="16"/>
                <w:vertAlign w:val="superscript"/>
                <w:lang w:eastAsia="sk-SK"/>
              </w:rPr>
              <w:t>4</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Sociálna práca I. - II. stupeň/ Social work I. - II.degree</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972"/>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2" w:anchor="Expl.OCA6!A1" w:history="1">
              <w:r>
                <w:rPr>
                  <w:rFonts w:eastAsia="Times New Roman" w:cs="Calibri"/>
                  <w:sz w:val="16"/>
                  <w:szCs w:val="16"/>
                  <w:lang w:eastAsia="sk-SK"/>
                </w:rPr>
                <w:t xml:space="preserve">OCA6. Kategória výstupu tvorivej činnosti / Category of the research/ artistic/other output </w:t>
              </w:r>
              <w:r>
                <w:rPr>
                  <w:rFonts w:eastAsia="Times New Roman" w:cs="Calibri"/>
                  <w:sz w:val="16"/>
                  <w:szCs w:val="16"/>
                  <w:lang w:eastAsia="sk-SK"/>
                </w:rPr>
                <w:br/>
              </w:r>
            </w:hyperlink>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121" w:type="dxa"/>
            <w:tcBorders>
              <w:bottom w:val="single" w:sz="8" w:space="0" w:color="000000"/>
              <w:right w:val="single" w:sz="8" w:space="0" w:color="000000"/>
            </w:tcBorders>
            <w:shd w:val="clear" w:color="auto" w:fill="auto"/>
          </w:tcPr>
          <w:p>
            <w:pPr>
              <w:widowControl w:val="0"/>
              <w:spacing w:after="0" w:line="240" w:lineRule="auto"/>
              <w:rPr>
                <w:rFonts w:cstheme="minorHAnsi"/>
                <w:bCs/>
                <w:sz w:val="16"/>
              </w:rPr>
            </w:pPr>
            <w:r>
              <w:rPr>
                <w:sz w:val="16"/>
                <w:szCs w:val="16"/>
              </w:rPr>
              <w:t xml:space="preserve">pedagogický výstup / pedagogical </w:t>
            </w:r>
            <w:r>
              <w:rPr>
                <w:rFonts w:cstheme="minorHAnsi"/>
                <w:bCs/>
                <w:sz w:val="16"/>
              </w:rPr>
              <w:t>output</w:t>
            </w:r>
          </w:p>
          <w:p>
            <w:pPr>
              <w:pStyle w:val="Normlny1"/>
              <w:widowControl w:val="0"/>
              <w:rPr>
                <w:rFonts w:ascii="Calibri" w:hAnsi="Calibri" w:cs="Calibri"/>
                <w:sz w:val="16"/>
                <w:szCs w:val="16"/>
              </w:rPr>
            </w:pPr>
          </w:p>
          <w:p>
            <w:pPr>
              <w:pStyle w:val="Normlny1"/>
              <w:widowControl w:val="0"/>
              <w:rPr>
                <w:rFonts w:ascii="Calibri" w:eastAsia="Times New Roman" w:hAnsi="Calibri" w:cs="Calibri"/>
                <w:i/>
                <w:iCs/>
                <w:color w:val="000000"/>
                <w:sz w:val="16"/>
                <w:szCs w:val="16"/>
              </w:rPr>
            </w:pPr>
            <w:r>
              <w:rPr>
                <w:rFonts w:ascii="Calibri" w:hAnsi="Calibri" w:cs="Calibri"/>
                <w:sz w:val="16"/>
                <w:szCs w:val="16"/>
              </w:rPr>
              <w:t>DÁVIDOVÁ, M. 2022. Supervízia v centrách pre deti a rodiny . In Sociálno zdravotnícke spektrum. [online]. 2022, [citované 2022-02-07].  p. 1–13. Dostupné na internete: &lt;https://www.szspektrum.eu/wp-content/uploads/2022/02/Davidova.pdf&gt;. ISSN 1339-2379.</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10"/>
        </w:trPr>
        <w:tc>
          <w:tcPr>
            <w:tcW w:w="5047" w:type="dxa"/>
            <w:gridSpan w:val="2"/>
            <w:tcBorders>
              <w:top w:val="single" w:sz="8" w:space="0" w:color="000000"/>
              <w:left w:val="single" w:sz="8" w:space="0" w:color="000000"/>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2022</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66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3" w:anchor="'poznamky_explanatory notes'!A1" w:history="1">
              <w:r>
                <w:rPr>
                  <w:rFonts w:eastAsia="Times New Roman" w:cs="Calibri"/>
                  <w:sz w:val="16"/>
                  <w:szCs w:val="16"/>
                  <w:lang w:eastAsia="sk-SK"/>
                </w:rPr>
                <w:t xml:space="preserve">OCA8. ID záznamu v CREPČ alebo CREUČ </w:t>
              </w:r>
            </w:hyperlink>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494"/>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4" w:anchor="'poznamky_explanatory notes'!A1" w:history="1">
              <w:r>
                <w:rPr>
                  <w:rFonts w:eastAsia="Times New Roman" w:cs="Calibri"/>
                  <w:sz w:val="16"/>
                  <w:szCs w:val="16"/>
                  <w:lang w:eastAsia="sk-SK"/>
                </w:rPr>
                <w:t xml:space="preserve">OCA9. Hyperlink na záznam v CREPČ alebo CREUČ / Hyperlink to the record in CRPA or CRAA </w:t>
              </w:r>
            </w:hyperlink>
            <w:r>
              <w:rPr>
                <w:rFonts w:eastAsia="Times New Roman" w:cs="Calibri"/>
                <w:sz w:val="16"/>
                <w:szCs w:val="16"/>
                <w:vertAlign w:val="superscript"/>
                <w:lang w:eastAsia="sk-SK"/>
              </w:rPr>
              <w:t>6</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left w:val="single" w:sz="8" w:space="0" w:color="000000"/>
              <w:bottom w:val="single" w:sz="8" w:space="0" w:color="000000"/>
              <w:right w:val="single" w:sz="8" w:space="0" w:color="000000"/>
            </w:tcBorders>
            <w:shd w:val="clear" w:color="FBE5D6" w:fill="DAE3F3"/>
            <w:textDirection w:val="btLr"/>
            <w:vAlign w:val="center"/>
          </w:tcPr>
          <w:p>
            <w:pPr>
              <w:widowControl w:val="0"/>
              <w:spacing w:after="0" w:line="240" w:lineRule="auto"/>
              <w:jc w:val="center"/>
              <w:rPr>
                <w:rFonts w:ascii="Calibri" w:eastAsia="Times New Roman" w:hAnsi="Calibri"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80" w:type="dxa"/>
            <w:tcBorders>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5" w:anchor="'poznamky_explanatory notes'!A1" w:history="1">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hyperlink>
            <w:r>
              <w:rPr>
                <w:rFonts w:eastAsia="Times New Roman" w:cs="Calibri"/>
                <w:sz w:val="16"/>
                <w:szCs w:val="16"/>
                <w:vertAlign w:val="superscript"/>
                <w:lang w:eastAsia="sk-SK"/>
              </w:rPr>
              <w:t>7</w:t>
            </w:r>
          </w:p>
        </w:tc>
        <w:tc>
          <w:tcPr>
            <w:tcW w:w="5121" w:type="dxa"/>
            <w:tcBorders>
              <w:bottom w:val="single" w:sz="8" w:space="0" w:color="000000"/>
              <w:right w:val="single" w:sz="8" w:space="0" w:color="000000"/>
            </w:tcBorders>
            <w:shd w:val="clear" w:color="auto" w:fill="auto"/>
          </w:tcPr>
          <w:p>
            <w:pPr>
              <w:widowControl w:val="0"/>
              <w:spacing w:after="0" w:line="240" w:lineRule="auto"/>
              <w:ind w:left="160" w:hanging="160"/>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cs="Calibri"/>
                <w:sz w:val="16"/>
                <w:szCs w:val="16"/>
              </w:rPr>
              <w:t>BDF DÁVIDOVÁ, M. 2022. Supervízia v centrách pre deti a rodiny . In Sociálno zdravotnícke spektrum. [online]. 2022, [citované 2022-02-07].  p. 1–13. Dostupné na internete: &lt;https://www.szspektrum.eu/wp-content/uploads/2022/02/Davidova.pdf&gt;. ISSN 1339-2379.</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6" w:anchor="Expl.OCA12!A1" w:history="1">
              <w:r>
                <w:rPr>
                  <w:rFonts w:eastAsia="Times New Roman" w:cs="Calibri"/>
                  <w:sz w:val="16"/>
                  <w:szCs w:val="16"/>
                  <w:lang w:eastAsia="sk-SK"/>
                </w:rPr>
                <w:t>OCA12. Typ výstupu (ak nie je výstup registrovaný v CREPČ alebo CREUČ) / Type of the output (if the output is not registered in CRPA or CRAA)</w:t>
              </w:r>
              <w:r>
                <w:rPr>
                  <w:rFonts w:eastAsia="Times New Roman" w:cs="Calibri"/>
                  <w:sz w:val="16"/>
                  <w:szCs w:val="16"/>
                  <w:lang w:eastAsia="sk-SK"/>
                </w:rPr>
                <w:br/>
              </w:r>
            </w:hyperlink>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i/>
                <w:iCs/>
                <w:color w:val="000000"/>
                <w:sz w:val="16"/>
                <w:szCs w:val="16"/>
                <w:lang w:eastAsia="sk-SK"/>
              </w:rPr>
            </w:pPr>
            <w:r>
              <w:rPr>
                <w:sz w:val="16"/>
                <w:szCs w:val="16"/>
              </w:rPr>
              <w:t xml:space="preserve">Odborná práca v domácom nekarentovanom časopise / Professional work in a domestic non-censored magazine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1" w:type="dxa"/>
            <w:tcBorders>
              <w:bottom w:val="single" w:sz="8" w:space="0" w:color="000000"/>
              <w:right w:val="single" w:sz="8" w:space="0" w:color="000000"/>
            </w:tcBorders>
            <w:shd w:val="clear" w:color="auto" w:fill="auto"/>
          </w:tcPr>
          <w:p>
            <w:pPr>
              <w:widowControl w:val="0"/>
              <w:spacing w:after="0" w:line="240" w:lineRule="auto"/>
            </w:pPr>
            <w:hyperlink r:id="rId17" w:history="1">
              <w:r>
                <w:rPr>
                  <w:rStyle w:val="Hypertextovprepojenie"/>
                </w:rPr>
                <w:t>https://www.szspektrum.eu/michaela-davidova-supervizia-v-centrach-pre-deti-a-rodiny/</w:t>
              </w:r>
            </w:hyperlink>
          </w:p>
          <w:p>
            <w:pPr>
              <w:widowControl w:val="0"/>
              <w:spacing w:after="0" w:line="240" w:lineRule="auto"/>
              <w:rPr>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121" w:type="dxa"/>
            <w:tcBorders>
              <w:bottom w:val="single" w:sz="8" w:space="0" w:color="000000"/>
              <w:right w:val="single" w:sz="8" w:space="0" w:color="000000"/>
            </w:tcBorders>
            <w:shd w:val="clear" w:color="auto" w:fill="auto"/>
          </w:tcPr>
          <w:p>
            <w:pPr>
              <w:pStyle w:val="PredformtovanHTML"/>
              <w:widowControl w:val="0"/>
              <w:shd w:val="clear" w:color="auto" w:fill="F8F9FA"/>
              <w:spacing w:line="360" w:lineRule="atLeast"/>
              <w:rPr>
                <w:rFonts w:asciiTheme="minorHAnsi" w:hAnsiTheme="minorHAnsi"/>
                <w:color w:val="202124"/>
                <w:sz w:val="16"/>
                <w:szCs w:val="16"/>
              </w:rPr>
            </w:pPr>
            <w:r>
              <w:rPr>
                <w:rFonts w:ascii="Calibri" w:hAnsi="Calibri" w:cs="Calibri"/>
                <w:color w:val="202124"/>
                <w:sz w:val="16"/>
                <w:szCs w:val="16"/>
              </w:rPr>
              <w:t>100 %</w:t>
            </w:r>
          </w:p>
          <w:p>
            <w:pPr>
              <w:widowControl w:val="0"/>
              <w:spacing w:after="0" w:line="240" w:lineRule="auto"/>
              <w:rPr>
                <w:rFonts w:ascii="Calibri" w:eastAsia="Times New Roman" w:hAnsi="Calibri" w:cs="Calibri"/>
                <w:color w:val="000000"/>
                <w:sz w:val="16"/>
                <w:szCs w:val="16"/>
                <w:lang w:val="en-US"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8" w:anchor="'poznamky_explanatory notes'!A1" w:history="1">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hyperlink>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121" w:type="dxa"/>
            <w:tcBorders>
              <w:left w:val="single" w:sz="8" w:space="0" w:color="000000"/>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themeColor="text1"/>
                <w:sz w:val="16"/>
                <w:szCs w:val="16"/>
                <w:lang w:eastAsia="sk-SK"/>
              </w:rPr>
            </w:pPr>
          </w:p>
          <w:p>
            <w:pPr>
              <w:widowControl w:val="0"/>
              <w:spacing w:after="0" w:line="240" w:lineRule="auto"/>
              <w:rPr>
                <w:rFonts w:cs="Calibri"/>
                <w:color w:val="000000" w:themeColor="text1"/>
                <w:sz w:val="16"/>
                <w:szCs w:val="16"/>
                <w:lang w:val="en-GB"/>
              </w:rPr>
            </w:pPr>
            <w:r>
              <w:rPr>
                <w:rFonts w:cs="Calibri"/>
                <w:color w:val="000000" w:themeColor="text1"/>
                <w:sz w:val="16"/>
                <w:szCs w:val="16"/>
              </w:rPr>
              <w:t xml:space="preserve">Príspevok približuje supervíziu v Centrách pre deti a rodiny v podmienkach Slovenskej republiky. </w:t>
            </w:r>
            <w:r>
              <w:rPr>
                <w:rFonts w:cs="Calibri"/>
                <w:color w:val="000000" w:themeColor="text1"/>
                <w:sz w:val="16"/>
                <w:szCs w:val="16"/>
                <w:lang w:val="pl-PL"/>
              </w:rPr>
              <w:t xml:space="preserve">Poukazuje na trendy súčasnej praxe sprostredkovávania a vykonávania supervízie v Centrách pre deti a rodiny v Slovenskej republike. </w:t>
            </w:r>
            <w:r>
              <w:rPr>
                <w:rFonts w:cs="Calibri"/>
                <w:color w:val="000000" w:themeColor="text1"/>
                <w:sz w:val="16"/>
                <w:szCs w:val="16"/>
                <w:lang w:val="en-GB"/>
              </w:rPr>
              <w:t xml:space="preserve">Okrem vymedzenia pôsobnosti týchto zariadení vrátane legislatívnych súvislosti a súvislostí spojených s internými normami zariadení, poskytuje reflexiu a kritickú analýzu poskytovania supervízie v súčasnej aplikovanej praxi v tejto oblasti. </w:t>
            </w:r>
          </w:p>
          <w:p>
            <w:pPr>
              <w:widowControl w:val="0"/>
              <w:spacing w:after="0" w:line="240" w:lineRule="auto"/>
              <w:rPr>
                <w:rFonts w:eastAsia="Times New Roman" w:cs="Calibri"/>
                <w:color w:val="000000" w:themeColor="text1"/>
                <w:sz w:val="16"/>
                <w:szCs w:val="16"/>
                <w:lang w:eastAsia="sk-SK"/>
              </w:rPr>
            </w:pPr>
            <w:r>
              <w:rPr>
                <w:rFonts w:eastAsia="Times New Roman" w:cs="Calibri"/>
                <w:color w:val="000000" w:themeColor="text1"/>
                <w:sz w:val="16"/>
                <w:szCs w:val="16"/>
                <w:lang w:eastAsia="sk-SK"/>
              </w:rPr>
              <w:t xml:space="preserve">/ </w:t>
            </w:r>
          </w:p>
          <w:p>
            <w:pPr>
              <w:widowControl w:val="0"/>
              <w:spacing w:after="0" w:line="240" w:lineRule="auto"/>
              <w:rPr>
                <w:rFonts w:cs="Calibri"/>
                <w:color w:val="000000"/>
                <w:sz w:val="16"/>
                <w:szCs w:val="16"/>
              </w:rPr>
            </w:pPr>
            <w:r>
              <w:rPr>
                <w:rFonts w:cs="Calibri"/>
                <w:color w:val="000000" w:themeColor="text1"/>
                <w:sz w:val="16"/>
                <w:szCs w:val="16"/>
                <w:lang w:val="en-GB"/>
              </w:rPr>
              <w:t>The article provides an overview of supervision in Centers for children and families in the conditions of the Slovak Republic. It points to trends in the current practice of mediation and supervision in Centers for Children and Families in the Slovak Republic. In addition to defining the scope of these facilities, including the legislative context and the context associated with the internal standards of the facilities, it provides a reflection and critical analysis of the provision of supervision in the current applied practice in this area.</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915"/>
        </w:trPr>
        <w:tc>
          <w:tcPr>
            <w:tcW w:w="5047" w:type="dxa"/>
            <w:gridSpan w:val="2"/>
            <w:tcBorders>
              <w:top w:val="single" w:sz="8" w:space="0" w:color="000000"/>
              <w:left w:val="single" w:sz="8" w:space="0" w:color="000000"/>
              <w:bottom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9" w:anchor="'poznamky_explanatory notes'!A1" w:history="1">
              <w:r>
                <w:rPr>
                  <w:rFonts w:eastAsia="Times New Roman" w:cs="Calibri"/>
                  <w:sz w:val="16"/>
                  <w:szCs w:val="16"/>
                  <w:lang w:eastAsia="sk-SK"/>
                </w:rPr>
                <w:t xml:space="preserve">OCA16. Anotácia výstupu v anglickom jazyku / Annotation of the output in English </w:t>
              </w:r>
            </w:hyperlink>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val="clear" w:color="auto" w:fill="auto"/>
          </w:tcPr>
          <w:p>
            <w:pPr>
              <w:widowControl w:val="0"/>
              <w:rPr>
                <w:rFonts w:cs="Calibri"/>
                <w:color w:val="000000" w:themeColor="text1"/>
                <w:sz w:val="16"/>
                <w:szCs w:val="16"/>
                <w:lang w:val="en-GB"/>
              </w:rPr>
            </w:pPr>
            <w:r>
              <w:rPr>
                <w:rFonts w:cs="Calibri"/>
                <w:color w:val="000000" w:themeColor="text1"/>
                <w:sz w:val="16"/>
                <w:szCs w:val="16"/>
                <w:lang w:val="en-GB"/>
              </w:rPr>
              <w:t>The article provides an overview of supervision in Centers for children and families in the conditions of the Slovak Republic. It points to trends in the current practice of mediation and supervision in Centers for Children and Families in the Slovak Republic. In addition to defining the scope of these facilities, including the legislative context and the context associated with the internal standards of the facilities, it provides a reflection and critical analysis of the provision of supervision in the current applied practice in this area.</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81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r>
            <w:r>
              <w:rPr>
                <w:rFonts w:eastAsia="Times New Roman" w:cs="Calibri"/>
                <w:color w:val="000000"/>
                <w:sz w:val="16"/>
                <w:szCs w:val="16"/>
                <w:lang w:eastAsia="sk-SK"/>
              </w:rPr>
              <w:br/>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val="clear" w:color="auto" w:fill="auto"/>
          </w:tcPr>
          <w:p>
            <w:pPr>
              <w:widowControl w:val="0"/>
              <w:spacing w:after="0"/>
              <w:rPr>
                <w:rFonts w:eastAsia="SimSun" w:cstheme="minorHAnsi"/>
                <w:color w:val="212529"/>
                <w:sz w:val="16"/>
                <w:szCs w:val="16"/>
                <w:shd w:val="clear" w:color="auto" w:fill="FFFFFF"/>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17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r>
            <w:r>
              <w:rPr>
                <w:rFonts w:eastAsia="Times New Roman" w:cs="Calibri"/>
                <w:color w:val="000000"/>
                <w:sz w:val="16"/>
                <w:szCs w:val="16"/>
                <w:lang w:eastAsia="sk-SK"/>
              </w:rPr>
              <w:br/>
            </w:r>
            <w:r>
              <w:rPr>
                <w:rFonts w:eastAsia="Times New Roman" w:cs="Calibri"/>
                <w:i/>
                <w:iCs/>
                <w:color w:val="808080"/>
                <w:sz w:val="16"/>
                <w:szCs w:val="16"/>
                <w:lang w:eastAsia="sk-SK"/>
              </w:rPr>
              <w:t>Rozsah do 200 slov v slovenskom jazyku / Range up to 200 words in Slovak</w:t>
            </w:r>
            <w:r>
              <w:rPr>
                <w:rFonts w:eastAsia="Times New Roman" w:cs="Calibri"/>
                <w:i/>
                <w:iCs/>
                <w:color w:val="808080"/>
                <w:sz w:val="16"/>
                <w:szCs w:val="16"/>
                <w:lang w:eastAsia="sk-SK"/>
              </w:rPr>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val="clear" w:color="auto" w:fill="auto"/>
          </w:tcPr>
          <w:p>
            <w:pPr>
              <w:widowControl w:val="0"/>
              <w:spacing w:after="0" w:line="240" w:lineRule="auto"/>
              <w:rPr>
                <w:rFonts w:ascii="Calibri" w:hAnsi="Calibri" w:cs="Calibri"/>
                <w:color w:val="000000"/>
                <w:sz w:val="16"/>
                <w:szCs w:val="16"/>
              </w:rPr>
            </w:pPr>
            <w:r>
              <w:rPr>
                <w:rFonts w:ascii="Calibri" w:hAnsi="Calibri" w:cs="Calibri"/>
                <w:color w:val="000000"/>
                <w:sz w:val="16"/>
                <w:szCs w:val="16"/>
              </w:rPr>
              <w:t xml:space="preserve">Výkon opatrení v zariadeniach sociálnoprávnej ochrany detí a sociálnej kurately spadá pod štátny sektor so zaradením pod Ústredie práce, sociálnych vecí a rodiny, ktoré je zriaďovateľom týchto zariadení. Je nepochybné, že systém pôsobnosti týchto zariadení úzko súvisí s fungovaním spoločnosti a riešením sociálnopatologických javov v ohrozených a rizikových rodinách. Supervízia je súčasťou výkonu opatrení sociálnoprávnej ochrany detí a sociálnej kurately v rámci pôsobenia pedagogických, odborných a iných zamestnancov, ktoré majú psychickú spôsobilosť na výkon práce s deťmi. Rovnako je to tak aj pri výkone profesionálneho náhradného rodičovstva, čo nadväzuje na orgány štátnej správy, verejnej správy, ako aj samosprávy, ktoré problematiku sociálnoprávnej ochrany detí aktívne rozoberajú a sú participujúcimi subjektmi. </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The performance of measures in facilities for the social protection of children and social guardianship falls under the state sector, with classification under the Central Office of Labour, Social Affairs and Family, which is the founder of these facilities. There is no doubt that the system of operation of these facilities is closely related to the functioning of society and the solution of socio-pathological phenomena in endangered and risky families. Supervision is part of the implementation of social protection measures for children and social guardianship within the framework of the work of pedagogical, professional and other employees who have the mental capacity to work with children. The same is the case with the performance of professional surrogate parenting, which is linked to the bodies of state administration, public administration, as well as local governments, which actively discuss the issue of social protection of children and are participating subjects.</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29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Pr>
                <w:rFonts w:eastAsia="Times New Roman" w:cs="Calibri"/>
                <w:color w:val="000000"/>
                <w:sz w:val="16"/>
                <w:szCs w:val="16"/>
                <w:lang w:eastAsia="sk-SK"/>
              </w:rPr>
              <w:br/>
            </w:r>
            <w:r>
              <w:rPr>
                <w:rFonts w:eastAsia="Times New Roman" w:cs="Calibri"/>
                <w:i/>
                <w:iCs/>
                <w:color w:val="808080"/>
                <w:sz w:val="16"/>
                <w:szCs w:val="16"/>
                <w:lang w:eastAsia="sk-SK"/>
              </w:rPr>
              <w:t>Rozsah do 200 slov v slovenskom jazyku / Range up to 200 words in Slovak</w:t>
            </w:r>
            <w:r>
              <w:rPr>
                <w:rFonts w:eastAsia="Times New Roman" w:cs="Calibri"/>
                <w:i/>
                <w:iCs/>
                <w:color w:val="808080"/>
                <w:sz w:val="16"/>
                <w:szCs w:val="16"/>
                <w:lang w:eastAsia="sk-SK"/>
              </w:rPr>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val="clear" w:color="auto" w:fill="auto"/>
          </w:tcPr>
          <w:p>
            <w:pPr>
              <w:widowControl w:val="0"/>
              <w:spacing w:after="0" w:line="240" w:lineRule="auto"/>
              <w:rPr>
                <w:rFonts w:ascii="Calibri" w:hAnsi="Calibri" w:cs="Calibri"/>
                <w:color w:val="000000"/>
                <w:sz w:val="16"/>
                <w:szCs w:val="16"/>
              </w:rPr>
            </w:pPr>
            <w:r>
              <w:rPr>
                <w:rFonts w:ascii="Calibri" w:hAnsi="Calibri" w:cs="Calibri"/>
                <w:color w:val="000000"/>
                <w:sz w:val="16"/>
                <w:szCs w:val="16"/>
              </w:rPr>
              <w:t xml:space="preserve">Supervízia v centrách pre deti a rodiny úzko súvisí s oblasťou sociálnoprávnej ochrany detí a sociálnej kurately, pričom sa úzko dotýkajú vzdelávania v oblasti supervízie v sociálnej práci a sekundárne tak aj sociálnoprávnou ochranou detí a sociálnou kuratelou, keďže centrá pre deti a rodiny vystupujú ako zariadenia pre výkon opatrení orgánu sociálnoprávnej ochrany detí a sociálnej kurately. Tieto dve oblasti spolu úzko súvisia vzhľadom na to, že podmienka realizácie supervízie v zariadeniach sociálnoprávnej ochrany detí a sociálnej kurately je zakotvená v legislatíve. Poznatky uvedené v príspevku sú uplatniteľné okrem vyššie uvedených predmetov aj v rámci predmetu sociálnej psychológie, keďže supervízia ako taká nadväzuje na sociálne vzťahy na pracovisku, respektíve aj psychológiu osobnosti a vývinovú psychológiu v rámci rekonštrukcie vzťahov s deťmi v supervíznom procese. </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 xml:space="preserve">Supervision in centers for children and families is closely related to the field of social legal protection of children and social guardianship, while closely touching education in the field of supervision in social work and secondarily also with social legal protection of children and social guardianship, since centers for children and families act as facilities for implementation of the </w:t>
            </w:r>
            <w:r>
              <w:rPr>
                <w:rFonts w:ascii="Calibri" w:hAnsi="Calibri" w:cs="Calibri"/>
                <w:color w:val="000000"/>
                <w:sz w:val="16"/>
                <w:szCs w:val="16"/>
              </w:rPr>
              <w:lastRenderedPageBreak/>
              <w:t>measures of the body for the social protection of children and social guardianship. These two areas are closely related due to the fact that the condition for the implementation of supervision in facilities for social protection of children and social guardianship is enshrined in legislation. The knowledge presented in the paper is applicable, in addition to the above-mentioned subjects, also within the subject of social psychology, since supervision as such follows on from social relations at the workplace, respectively also personality psychology and developmental psychology within the framework of the reconstruction of relations with children in the supervision process.</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0D46F9-6A55-4EA8-937B-DDC5C9359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b/>
      <w:bCs/>
      <w:kern w:val="2"/>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basedOn w:val="Predvolenpsmoodseku"/>
    <w:uiPriority w:val="99"/>
    <w:unhideWhenUsed/>
    <w:qFormat/>
    <w:rPr>
      <w:color w:val="0563C1"/>
      <w:u w:val="single"/>
    </w:rPr>
  </w:style>
  <w:style w:type="character" w:customStyle="1" w:styleId="UnresolvedMention">
    <w:name w:val="Unresolved Mention"/>
    <w:basedOn w:val="Predvolenpsmoodseku"/>
    <w:uiPriority w:val="99"/>
    <w:semiHidden/>
    <w:unhideWhenUsed/>
    <w:qFormat/>
    <w:rPr>
      <w:color w:val="605E5C"/>
      <w:shd w:val="clear" w:color="auto" w:fill="E1DFDD"/>
    </w:rPr>
  </w:style>
  <w:style w:type="character" w:customStyle="1" w:styleId="Nadpis2Char">
    <w:name w:val="Nadpis 2 Char"/>
    <w:basedOn w:val="Predvolenpsmoodseku"/>
    <w:link w:val="Nadpis2"/>
    <w:uiPriority w:val="9"/>
    <w:semiHidden/>
    <w:qFormat/>
    <w:rPr>
      <w:rFonts w:asciiTheme="majorHAnsi" w:eastAsiaTheme="majorEastAsia" w:hAnsiTheme="majorHAnsi" w:cstheme="majorBidi"/>
      <w:color w:val="2F5496" w:themeColor="accent1" w:themeShade="BF"/>
      <w:sz w:val="26"/>
      <w:szCs w:val="26"/>
      <w:lang w:eastAsia="en-US" w:bidi="ar-SA"/>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paragraph" w:styleId="Normlnywebov">
    <w:name w:val="Normal (Web)"/>
    <w:basedOn w:val="Normlny"/>
    <w:uiPriority w:val="99"/>
    <w:semiHidden/>
    <w:unhideWhenUsed/>
    <w:qFormat/>
    <w:rPr>
      <w:sz w:val="24"/>
      <w:szCs w:val="24"/>
    </w:rPr>
  </w:style>
  <w:style w:type="paragraph" w:customStyle="1" w:styleId="Normlny1">
    <w:name w:val="Normálny1"/>
    <w:qFormat/>
    <w:rPr>
      <w:rFonts w:ascii="Liberation Serif" w:eastAsia="Liberation Serif" w:hAnsi="Liberation Serif" w:cs="Liberation Serif"/>
      <w:sz w:val="24"/>
      <w:szCs w:val="24"/>
      <w:lang w:bidi="ar-SA"/>
    </w:rPr>
  </w:style>
  <w:style w:type="paragraph" w:customStyle="1" w:styleId="western">
    <w:name w:val="western"/>
    <w:qFormat/>
    <w:rPr>
      <w:rFonts w:cs="Mangal"/>
      <w:sz w:val="24"/>
      <w:szCs w:val="24"/>
      <w:lang w:val="en-US" w:eastAsia="zh-CN"/>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lnatabuka1">
    <w:name w:val="Normálna tabuľka1"/>
    <w:semiHidden/>
    <w:qFormat/>
    <w:pPr>
      <w:spacing w:after="160" w:line="256" w:lineRule="auto"/>
    </w:pPr>
    <w:rPr>
      <w:sz w:val="22"/>
      <w:szCs w:val="22"/>
    </w:rPr>
    <w:tblPr>
      <w:tblCellMar>
        <w:top w:w="0" w:type="dxa"/>
        <w:left w:w="100" w:type="dxa"/>
        <w:bottom w:w="0" w:type="dxa"/>
        <w:right w:w="100" w:type="dxa"/>
      </w:tblCellMar>
    </w:tblPr>
  </w:style>
  <w:style w:type="character" w:styleId="Hypertextovprepojenie">
    <w:name w:val="Hyperlink"/>
    <w:basedOn w:val="Predvolenpsmoodseku"/>
    <w:uiPriority w:val="99"/>
    <w:unhideWhenUsed/>
    <w:qFormat/>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E:/%C5%A0ablony%20akredit%C3%A1cia/4_VTC.xlsx" TargetMode="External"/><Relationship Id="rId13" Type="http://schemas.openxmlformats.org/officeDocument/2006/relationships/hyperlink" Target="file:///E:/%C5%A0ablony%20akredit%C3%A1cia/4_VTC.xlsx" TargetMode="External"/><Relationship Id="rId18" Type="http://schemas.openxmlformats.org/officeDocument/2006/relationships/hyperlink" Target="file:///E:/%C5%A0ablony%20akredit%C3%A1cia/4_VTC.xls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E:/%C5%A0ablony%20akredit%C3%A1cia/4_VTC.xlsx" TargetMode="External"/><Relationship Id="rId12" Type="http://schemas.openxmlformats.org/officeDocument/2006/relationships/hyperlink" Target="file:///E:/%C5%A0ablony%20akredit%C3%A1cia/4_VTC.xlsx" TargetMode="External"/><Relationship Id="rId17" Type="http://schemas.openxmlformats.org/officeDocument/2006/relationships/hyperlink" Target="https://www.szspektrum.eu/michaela-davidova-supervizia-v-centrach-pre-deti-a-rodiny/" TargetMode="External"/><Relationship Id="rId2" Type="http://schemas.openxmlformats.org/officeDocument/2006/relationships/styles" Target="styles.xml"/><Relationship Id="rId16" Type="http://schemas.openxmlformats.org/officeDocument/2006/relationships/hyperlink" Target="file:///E:/%C5%A0ablony%20akredit%C3%A1cia/4_VTC.xls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ile:///E:/%C5%A0ablony%20akredit%C3%A1cia/4_VTC.xlsx" TargetMode="External"/><Relationship Id="rId11" Type="http://schemas.openxmlformats.org/officeDocument/2006/relationships/hyperlink" Target="file:///E:/%C5%A0ablony%20akredit%C3%A1cia/4_VTC.xlsx" TargetMode="External"/><Relationship Id="rId5" Type="http://schemas.openxmlformats.org/officeDocument/2006/relationships/hyperlink" Target="file:///E:/%C5%A0ablony%20akredit%C3%A1cia/4_VTC.xlsx" TargetMode="External"/><Relationship Id="rId15" Type="http://schemas.openxmlformats.org/officeDocument/2006/relationships/hyperlink" Target="file:///E:/%C5%A0ablony%20akredit%C3%A1cia/4_VTC.xlsx" TargetMode="External"/><Relationship Id="rId10" Type="http://schemas.openxmlformats.org/officeDocument/2006/relationships/hyperlink" Target="file:///E:/%C5%A0ablony%20akredit%C3%A1cia/4_VTC.xlsx" TargetMode="External"/><Relationship Id="rId19" Type="http://schemas.openxmlformats.org/officeDocument/2006/relationships/hyperlink" Target="file:///E:/%C5%A0ablony%20akredit%C3%A1cia/4_VTC.xlsx" TargetMode="External"/><Relationship Id="rId4" Type="http://schemas.openxmlformats.org/officeDocument/2006/relationships/webSettings" Target="webSettings.xml"/><Relationship Id="rId9" Type="http://schemas.openxmlformats.org/officeDocument/2006/relationships/hyperlink" Target="file:///E:/%C5%A0ablony%20akredit%C3%A1cia/4_VTC.xlsx" TargetMode="External"/><Relationship Id="rId14" Type="http://schemas.openxmlformats.org/officeDocument/2006/relationships/hyperlink" Target="file:///E:/%C5%A0ablony%20akredit%C3%A1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1790</Words>
  <Characters>10205</Characters>
  <Application>Microsoft Office Word</Application>
  <DocSecurity>0</DocSecurity>
  <Lines>85</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Králik</dc:creator>
  <dc:description/>
  <cp:lastModifiedBy>Hardy Mária</cp:lastModifiedBy>
  <cp:revision>2</cp:revision>
  <dcterms:created xsi:type="dcterms:W3CDTF">2024-02-12T09:47:00Z</dcterms:created>
  <dcterms:modified xsi:type="dcterms:W3CDTF">2024-02-12T09:47:00Z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A37B1A9D7EC149AA9272174AAA4FC1B6</vt:lpwstr>
  </property>
  <property fmtid="{D5CDD505-2E9C-101B-9397-08002B2CF9AE}" pid="3" name="KSOProductBuildVer">
    <vt:lpwstr>1033-11.2.0.10308</vt:lpwstr>
  </property>
</Properties>
</file>